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7756F5A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C5683E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ЗАКАРПАТ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727B6039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2" w:history="1">
        <w:r w:rsidR="00CE5E01" w:rsidRPr="00CE5E01">
          <w:rPr>
            <w:rStyle w:val="af2"/>
            <w:sz w:val="18"/>
            <w:szCs w:val="18"/>
          </w:rPr>
          <w:t>https://zkgaszbut.com.ua/</w:t>
        </w:r>
      </w:hyperlink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3427"/>
        <w:gridCol w:w="3428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4"/>
        <w:gridCol w:w="1014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</w:t>
      </w:r>
      <w:bookmarkStart w:id="0" w:name="_GoBack"/>
      <w:bookmarkEnd w:id="0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8BB3DB9" w14:textId="23052937" w:rsidR="00CE5E01" w:rsidRPr="00CE5E01" w:rsidRDefault="00FC00DD" w:rsidP="00CE5E01">
      <w:pPr>
        <w:shd w:val="clear" w:color="auto" w:fill="FFFFFF"/>
        <w:spacing w:after="0" w:line="240" w:lineRule="auto"/>
        <w:ind w:right="141"/>
        <w:jc w:val="both"/>
        <w:rPr>
          <w:sz w:val="16"/>
          <w:szCs w:val="16"/>
          <w:lang w:val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3" w:history="1">
        <w:r w:rsidR="00CE5E01" w:rsidRPr="00CE5E01">
          <w:rPr>
            <w:rStyle w:val="af2"/>
            <w:sz w:val="16"/>
            <w:szCs w:val="16"/>
          </w:rPr>
          <w:t>https://zkgaszbut.com.ua/rates/ricnij-bazova-propozicia-5</w:t>
        </w:r>
      </w:hyperlink>
    </w:p>
    <w:p w14:paraId="180AF435" w14:textId="77777777" w:rsidR="00CE5E01" w:rsidRDefault="00CE5E01" w:rsidP="00CE5E01">
      <w:pPr>
        <w:shd w:val="clear" w:color="auto" w:fill="FFFFFF"/>
        <w:spacing w:after="0" w:line="240" w:lineRule="auto"/>
        <w:ind w:right="141"/>
        <w:jc w:val="both"/>
        <w:rPr>
          <w:lang w:val="uk-UA"/>
        </w:rPr>
      </w:pPr>
    </w:p>
    <w:p w14:paraId="3EDD183A" w14:textId="023BB36F" w:rsidR="00FC00DD" w:rsidRPr="00A159F3" w:rsidRDefault="00FC00DD" w:rsidP="00CE5E01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98E2" w14:textId="77777777" w:rsidR="005E758C" w:rsidRDefault="005E758C" w:rsidP="00E82631">
      <w:pPr>
        <w:spacing w:after="0" w:line="240" w:lineRule="auto"/>
      </w:pPr>
      <w:r>
        <w:separator/>
      </w:r>
    </w:p>
  </w:endnote>
  <w:endnote w:type="continuationSeparator" w:id="0">
    <w:p w14:paraId="2090CB89" w14:textId="77777777" w:rsidR="005E758C" w:rsidRDefault="005E758C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4D6A" w14:textId="77777777" w:rsidR="005E758C" w:rsidRDefault="005E758C" w:rsidP="00E82631">
      <w:pPr>
        <w:spacing w:after="0" w:line="240" w:lineRule="auto"/>
      </w:pPr>
      <w:r>
        <w:separator/>
      </w:r>
    </w:p>
  </w:footnote>
  <w:footnote w:type="continuationSeparator" w:id="0">
    <w:p w14:paraId="352B6248" w14:textId="77777777" w:rsidR="005E758C" w:rsidRDefault="005E758C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21998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E758C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BF22C3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5683E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CE5E01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568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56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kgaszbut.com.ua/rates/ricnij-bazova-propozicia-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zkgaszbut.com.u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656309-8FC3-47D6-B81E-C12358FD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Авксентьєва Ольга  Іванівна</dc:creator>
  <cp:lastModifiedBy>Андрусяк Андрій Васильович</cp:lastModifiedBy>
  <cp:revision>2</cp:revision>
  <cp:lastPrinted>2021-05-06T12:00:00Z</cp:lastPrinted>
  <dcterms:created xsi:type="dcterms:W3CDTF">2021-12-14T13:10:00Z</dcterms:created>
  <dcterms:modified xsi:type="dcterms:W3CDTF">2021-12-14T13:10:00Z</dcterms:modified>
</cp:coreProperties>
</file>